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60" w:rsidRPr="004249E1" w:rsidRDefault="00FF7460" w:rsidP="004249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FF7460" w:rsidRPr="004249E1" w:rsidRDefault="00FF7460" w:rsidP="004249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249E1">
        <w:rPr>
          <w:rFonts w:ascii="Times New Roman" w:hAnsi="Times New Roman" w:cs="Times New Roman"/>
          <w:sz w:val="28"/>
          <w:szCs w:val="28"/>
        </w:rPr>
        <w:t xml:space="preserve">ФГОС </w:t>
      </w:r>
      <w:bookmarkStart w:id="0" w:name="_GoBack"/>
      <w:bookmarkEnd w:id="0"/>
      <w:r w:rsidR="004249E1">
        <w:rPr>
          <w:rFonts w:ascii="Times New Roman" w:hAnsi="Times New Roman" w:cs="Times New Roman"/>
          <w:sz w:val="28"/>
          <w:szCs w:val="28"/>
        </w:rPr>
        <w:t>СОО МКОУ</w:t>
      </w:r>
      <w:r w:rsidRPr="004249E1">
        <w:rPr>
          <w:rFonts w:ascii="Times New Roman" w:hAnsi="Times New Roman" w:cs="Times New Roman"/>
          <w:sz w:val="28"/>
          <w:szCs w:val="28"/>
        </w:rPr>
        <w:t xml:space="preserve"> СОШ № 9 </w:t>
      </w:r>
      <w:r w:rsidR="004249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49E1">
        <w:rPr>
          <w:rFonts w:ascii="Times New Roman" w:hAnsi="Times New Roman" w:cs="Times New Roman"/>
          <w:sz w:val="28"/>
          <w:szCs w:val="28"/>
        </w:rPr>
        <w:t>с. Родниковского Арзгирского района Ставропольского края</w:t>
      </w:r>
    </w:p>
    <w:p w:rsidR="00FF7460" w:rsidRPr="004249E1" w:rsidRDefault="00FF7460" w:rsidP="004249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>на 2020/2021 - 2021/2022 учебные годы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 Образовательная программа муниципального казенного общеобразовательного учреждения средней общеобразовательной школы № 9 </w:t>
      </w:r>
    </w:p>
    <w:p w:rsidR="00FF7460" w:rsidRPr="004249E1" w:rsidRDefault="00FF7460" w:rsidP="0042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с. Родниковского Арзгирского района Ставропольского края (далее – МКОУ СОШ № 9 с. </w:t>
      </w:r>
      <w:proofErr w:type="gramStart"/>
      <w:r w:rsidRPr="004249E1">
        <w:rPr>
          <w:rFonts w:ascii="Times New Roman" w:hAnsi="Times New Roman" w:cs="Times New Roman"/>
          <w:sz w:val="28"/>
          <w:szCs w:val="28"/>
        </w:rPr>
        <w:t xml:space="preserve">Родниковского)  </w:t>
      </w:r>
      <w:proofErr w:type="spellStart"/>
      <w:r w:rsidRPr="004249E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4249E1">
        <w:rPr>
          <w:rFonts w:ascii="Times New Roman" w:hAnsi="Times New Roman" w:cs="Times New Roman"/>
          <w:sz w:val="28"/>
          <w:szCs w:val="28"/>
        </w:rPr>
        <w:t xml:space="preserve"> 2020/2021 - 2021/2022 учебные годы, является нормативным документом МКОУ СОШ № 9 с. Родниковского, регламентирующим особенности организационно- педагогических условий и содержание деятельности школы по реализации федерального компонента государственного образовательного стандарта для учащихся 10-11-х классов.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с учетом типа и вида образовательного учреждения, запросов и образовательных потребностей учащихся и их родителей (законных представителей) и является документом, обеспечивающим единство образовательного пространства и достижение планируемых результатов на ступени общего образования.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Образовательная программа ежегодно обновляется в соответствии с современными требованиями: составляется учебный план на год, программно- методическое обеспечение учебного плана, годовой календарно-учебный график, разрабатываются рабочие программы учебных предметов, курсов, дисциплин (модулей), элективных курсов.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Структура образовательной программы МКОУ СОШ № 9 с. Родниковского.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>Введение. В этом разделе образовательной программы отражены важные моменты развития системы образования, организационно-управленческие и содержательно-</w:t>
      </w:r>
      <w:proofErr w:type="spellStart"/>
      <w:r w:rsidRPr="004249E1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4249E1">
        <w:rPr>
          <w:rFonts w:ascii="Times New Roman" w:hAnsi="Times New Roman" w:cs="Times New Roman"/>
          <w:sz w:val="28"/>
          <w:szCs w:val="28"/>
        </w:rPr>
        <w:t xml:space="preserve"> предпосылки осуществления основной цели образования, характеристика специфики содержания образования и особенности организации учебно-воспитательного процесса. А также стратегическая цель образовательной программы школы.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Нормативное обеспечение программы. Этот раздел отражает нормативно- правовую основу составления и реализации общеобразовательной программы МКОУ СОШ № 9 с. Родниковского по ФГОС СОО.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Информационная справка о школе. В ней представлены статистические данные об образовательном учреждении.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Сведения о кадрах. Раздел содержит информацию о кадровом обеспечении образовательного процесса.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Пояснительная записка. В этом разделе представлена основная часть целевых установок.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Особенности изучения отдельных предметов. Раздел представлен двумя уровнями образования основного общего и среднего общего.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Требования к результатам образования. Раздел представлен двумя уровнями образования основного общего и среднего общего.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Общие учебные умения, навыки и способы деятельности. </w:t>
      </w:r>
      <w:r w:rsidR="00815DE9" w:rsidRPr="004249E1">
        <w:rPr>
          <w:rFonts w:ascii="Times New Roman" w:hAnsi="Times New Roman" w:cs="Times New Roman"/>
          <w:sz w:val="28"/>
          <w:szCs w:val="28"/>
        </w:rPr>
        <w:t>Раздел представлен уровнем</w:t>
      </w:r>
      <w:r w:rsidRPr="004249E1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815DE9" w:rsidRPr="004249E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24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образовательной деятельности и применяемые в ней технологии. Раздел описывает особенности организации образовательной </w:t>
      </w:r>
      <w:r w:rsidRPr="004249E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возможное применение тех или иных педагогических техник и технологий.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Формы аттестации учета достижений учащихся. Содержательная часть этого раздела программы соответствует нормативному локальному акту, регламентирующему вопросы аттестации учащихся МКОУ СОШ № 9 с. Родниковского. </w:t>
      </w:r>
    </w:p>
    <w:p w:rsidR="00FF7460" w:rsidRPr="004249E1" w:rsidRDefault="00FF7460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программы. В разделе представлен учебный план на 2020/2021 учебный год, программно-учебное обеспечение учебного плана 2020/2021 - 2021/2022 учебные годы, годовой календарный учебный график на 2020/2021 учебный год, рабочие программы на 2020/2021</w:t>
      </w:r>
      <w:r w:rsidR="00815DE9" w:rsidRPr="004249E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24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DE9" w:rsidRPr="004249E1" w:rsidRDefault="00815DE9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4E3451" w:rsidRPr="004249E1" w:rsidRDefault="004E3451" w:rsidP="004249E1">
      <w:pPr>
        <w:pStyle w:val="12"/>
        <w:rPr>
          <w:b w:val="0"/>
          <w:bCs w:val="0"/>
        </w:rPr>
      </w:pPr>
      <w:r w:rsidRPr="004249E1">
        <w:rPr>
          <w:b w:val="0"/>
          <w:bCs w:val="0"/>
        </w:rPr>
        <w:t xml:space="preserve">Целевой раздел примерной основной образовательной программы среднего общего образования </w:t>
      </w:r>
    </w:p>
    <w:p w:rsidR="004E3451" w:rsidRPr="004E3451" w:rsidRDefault="00815DE9" w:rsidP="004249E1">
      <w:pPr>
        <w:pStyle w:val="12"/>
        <w:rPr>
          <w:b w:val="0"/>
          <w:bCs w:val="0"/>
        </w:rPr>
      </w:pPr>
      <w:r w:rsidRPr="004249E1">
        <w:rPr>
          <w:b w:val="0"/>
          <w:bCs w:val="0"/>
        </w:rPr>
        <w:t xml:space="preserve">Пояснительная записка </w:t>
      </w:r>
    </w:p>
    <w:p w:rsidR="004E3451" w:rsidRPr="004E3451" w:rsidRDefault="004E3451" w:rsidP="00424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_Toc453968144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Планируемые</w:t>
        </w:r>
        <w:r w:rsidRPr="004249E1">
          <w:rPr>
            <w:rFonts w:ascii="Times New Roman" w:eastAsia="Calibri" w:hAnsi="Times New Roman" w:cs="Times New Roman"/>
            <w:noProof/>
            <w:sz w:val="28"/>
            <w:szCs w:val="28"/>
            <w:bdr w:val="nil"/>
            <w:shd w:val="clear" w:color="auto" w:fill="FFFFFF"/>
            <w:lang w:eastAsia="ru-RU"/>
          </w:rPr>
          <w:t xml:space="preserve"> </w:t>
        </w:r>
        <w:r w:rsidRPr="004249E1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результаты</w:t>
        </w:r>
        <w:r w:rsidRPr="004249E1">
          <w:rPr>
            <w:rFonts w:ascii="Times New Roman" w:eastAsia="Calibri" w:hAnsi="Times New Roman" w:cs="Times New Roman"/>
            <w:noProof/>
            <w:sz w:val="28"/>
            <w:szCs w:val="28"/>
            <w:bdr w:val="nil"/>
            <w:shd w:val="clear" w:color="auto" w:fill="FFFFFF"/>
            <w:lang w:eastAsia="ru-RU"/>
          </w:rPr>
          <w:t xml:space="preserve"> освоения обучающимися основной </w:t>
        </w:r>
        <w:r w:rsidRPr="004249E1">
          <w:rPr>
            <w:rFonts w:ascii="Times New Roman" w:eastAsia="Calibri" w:hAnsi="Times New Roman" w:cs="Times New Roman"/>
            <w:noProof/>
            <w:sz w:val="28"/>
            <w:szCs w:val="28"/>
            <w:bdr w:val="nil"/>
            <w:shd w:val="clear" w:color="auto" w:fill="FFFFFF"/>
            <w:lang w:eastAsia="ru-RU"/>
          </w:rPr>
          <w:t>образовательной программы среднего общего образования</w:t>
        </w:r>
        <w:r w:rsidRPr="004E345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48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Русский язык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49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Литература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50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Иностранный язык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51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История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52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География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54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Право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55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Обществознание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56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Россия в мире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57" w:history="1">
        <w:r w:rsidRPr="004249E1">
          <w:rPr>
            <w:rFonts w:ascii="Times New Roman" w:eastAsia="Calibri" w:hAnsi="Times New Roman" w:cs="Times New Roman"/>
            <w:noProof/>
            <w:spacing w:val="-6"/>
            <w:sz w:val="28"/>
            <w:szCs w:val="28"/>
          </w:rPr>
          <w:t>Математика: алгебра и начала математического анализа, геометрия</w:t>
        </w:r>
      </w:hyperlink>
    </w:p>
    <w:p w:rsidR="004E3451" w:rsidRPr="004E3451" w:rsidRDefault="004E3451" w:rsidP="00424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49E1">
        <w:rPr>
          <w:rFonts w:ascii="Times New Roman" w:eastAsia="Calibri" w:hAnsi="Times New Roman" w:cs="Times New Roman"/>
          <w:noProof/>
          <w:sz w:val="28"/>
          <w:szCs w:val="28"/>
        </w:rPr>
        <w:t xml:space="preserve">      </w:t>
      </w:r>
      <w:hyperlink w:anchor="_Toc453968158" w:history="1">
        <w:r w:rsidRPr="004249E1">
          <w:rPr>
            <w:rFonts w:ascii="Times New Roman" w:eastAsia="Times New Roman" w:hAnsi="Times New Roman" w:cs="Times New Roman"/>
            <w:iCs/>
            <w:noProof/>
            <w:sz w:val="28"/>
            <w:szCs w:val="28"/>
          </w:rPr>
          <w:t>Информатика</w:t>
        </w:r>
        <w:r w:rsidRPr="004E3451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  <w:r w:rsidRPr="004E345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4E3451">
        <w:rPr>
          <w:rFonts w:ascii="Times New Roman" w:eastAsia="Calibri" w:hAnsi="Times New Roman" w:cs="Times New Roman"/>
          <w:sz w:val="28"/>
          <w:szCs w:val="28"/>
        </w:rPr>
        <w:instrText xml:space="preserve"> TOC \o "1-5" \h \z \u </w:instrText>
      </w:r>
      <w:r w:rsidRPr="004E345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424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hyperlink w:anchor="_Toc453968159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Физика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60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Химия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61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Биология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63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Физическая культура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65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Основы безопасности жизнедеятельности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66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 Система оценки </w:t>
        </w:r>
        <w:r w:rsidRPr="004249E1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достижения планируемых результатов освоения основной образовательной программы среднего общего образования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77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Примерные программы отдельных учебных предметов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196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Примерная программа воспитания и социализации обучающихся при получении среднего общего образования</w:t>
        </w:r>
        <w:r w:rsidR="001E076E"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                                                                                                             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208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Примерная программа коррекционной работы</w:t>
        </w:r>
        <w:r w:rsidR="001E076E" w:rsidRPr="004249E1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.</w:t>
        </w:r>
      </w:hyperlink>
      <w:r w:rsidR="004249E1" w:rsidRPr="004249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215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Примерный</w:t>
        </w:r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учебный план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218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Требования к кадровым условиям реализации основной образовательной программы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219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Психолого-педагогические условия реализации основной образовательной программы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220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Финансовое обеспечение реализации образовательной программы среднего общего образования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221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Материально-технические условия реализации основной образовательной программы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222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Информационно-методические условия реализации основной образователь</w:t>
        </w:r>
        <w:r w:rsidR="001E076E"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-</w:t>
        </w:r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ной программы</w:t>
        </w:r>
      </w:hyperlink>
    </w:p>
    <w:p w:rsidR="004E3451" w:rsidRPr="004E3451" w:rsidRDefault="004E3451" w:rsidP="004249E1">
      <w:pPr>
        <w:tabs>
          <w:tab w:val="right" w:leader="dot" w:pos="96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968226" w:history="1">
        <w:r w:rsidRPr="004249E1">
          <w:rPr>
            <w:rFonts w:ascii="Times New Roman" w:eastAsia="Calibri" w:hAnsi="Times New Roman" w:cs="Times New Roman"/>
            <w:noProof/>
            <w:sz w:val="28"/>
            <w:szCs w:val="28"/>
          </w:rPr>
          <w:t>Разработка контроля состояния системы условий</w:t>
        </w:r>
      </w:hyperlink>
    </w:p>
    <w:p w:rsidR="00815DE9" w:rsidRPr="004249E1" w:rsidRDefault="004E3451" w:rsidP="004249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45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="00815DE9"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815DE9" w:rsidRPr="004249E1" w:rsidRDefault="00815DE9" w:rsidP="004249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</w:t>
      </w:r>
      <w:proofErr w:type="gramStart"/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способностей</w:t>
      </w:r>
      <w:proofErr w:type="gramEnd"/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815DE9" w:rsidRPr="004249E1" w:rsidRDefault="00815DE9" w:rsidP="004249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1E076E" w:rsidRPr="004249E1" w:rsidRDefault="00815DE9" w:rsidP="004249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осно</w:t>
      </w:r>
      <w:r w:rsidR="001E076E"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образовательной программы </w:t>
      </w:r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1E076E"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4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дальнейшего успешного профессионального обучения или профессиональной деятельности.</w:t>
      </w:r>
    </w:p>
    <w:p w:rsidR="001E076E" w:rsidRPr="004249E1" w:rsidRDefault="001E076E" w:rsidP="004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E1">
        <w:rPr>
          <w:rFonts w:ascii="Times New Roman" w:hAnsi="Times New Roman" w:cs="Times New Roman"/>
          <w:sz w:val="28"/>
          <w:szCs w:val="28"/>
        </w:rPr>
        <w:t xml:space="preserve">Рабочие программы среднего общего образования хранятся в образовательном учреждении в электронном виде. </w:t>
      </w: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15DE9" w:rsidRPr="004249E1" w:rsidRDefault="00815DE9" w:rsidP="004249E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" w:name="sub_91204"/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35"/>
      <w:bookmarkEnd w:id="1"/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9303"/>
      <w:bookmarkEnd w:id="2"/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3"/>
    <w:p w:rsidR="001E076E" w:rsidRPr="004249E1" w:rsidRDefault="001E076E" w:rsidP="004249E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E076E" w:rsidRPr="004249E1" w:rsidSect="004249E1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E"/>
    <w:rsid w:val="001E076E"/>
    <w:rsid w:val="004249E1"/>
    <w:rsid w:val="004E3451"/>
    <w:rsid w:val="00764D40"/>
    <w:rsid w:val="00784C2E"/>
    <w:rsid w:val="00815DE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F3F4"/>
  <w15:chartTrackingRefBased/>
  <w15:docId w15:val="{19CD7D15-C8DC-4F34-832C-5A7AB510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60"/>
  </w:style>
  <w:style w:type="paragraph" w:styleId="1">
    <w:name w:val="heading 1"/>
    <w:basedOn w:val="a"/>
    <w:next w:val="a"/>
    <w:link w:val="10"/>
    <w:uiPriority w:val="99"/>
    <w:qFormat/>
    <w:rsid w:val="00815D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D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DE9"/>
  </w:style>
  <w:style w:type="character" w:customStyle="1" w:styleId="a3">
    <w:name w:val="Цветовое выделение"/>
    <w:uiPriority w:val="99"/>
    <w:rsid w:val="00815D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15DE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815DE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15D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15DE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15D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15D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1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15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815DE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15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15DE9"/>
    <w:rPr>
      <w:rFonts w:ascii="Times New Roman CYR" w:hAnsi="Times New Roman CYR" w:cs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815D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5DE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uiPriority w:val="99"/>
    <w:rsid w:val="00815DE9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15DE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">
    <w:name w:val="toc 2"/>
    <w:basedOn w:val="a"/>
    <w:next w:val="a"/>
    <w:uiPriority w:val="39"/>
    <w:rsid w:val="00815DE9"/>
    <w:pPr>
      <w:tabs>
        <w:tab w:val="right" w:leader="dot" w:pos="9356"/>
      </w:tabs>
      <w:spacing w:after="0" w:line="240" w:lineRule="auto"/>
      <w:ind w:left="567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">
    <w:name w:val="toc 3"/>
    <w:basedOn w:val="a"/>
    <w:next w:val="a"/>
    <w:uiPriority w:val="39"/>
    <w:rsid w:val="00815DE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toc 4"/>
    <w:basedOn w:val="a"/>
    <w:next w:val="a"/>
    <w:uiPriority w:val="39"/>
    <w:rsid w:val="00815DE9"/>
    <w:pPr>
      <w:tabs>
        <w:tab w:val="right" w:leader="dot" w:pos="9628"/>
      </w:tabs>
      <w:spacing w:after="0" w:line="240" w:lineRule="auto"/>
      <w:ind w:left="1701"/>
    </w:pPr>
    <w:rPr>
      <w:rFonts w:ascii="Times New Roman" w:eastAsia="Calibri" w:hAnsi="Times New Roman" w:cs="Times New Roman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ED7A-E219-4F22-9AE2-AFE0AACD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2020-11-20T11:07:00Z</cp:lastPrinted>
  <dcterms:created xsi:type="dcterms:W3CDTF">2020-11-20T09:47:00Z</dcterms:created>
  <dcterms:modified xsi:type="dcterms:W3CDTF">2020-11-20T11:07:00Z</dcterms:modified>
</cp:coreProperties>
</file>